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4FF1" w:rsidRDefault="00000000">
      <w:pPr>
        <w:spacing w:after="60"/>
        <w:jc w:val="center"/>
      </w:pPr>
      <w:r>
        <w:rPr>
          <w:b/>
          <w:bCs/>
          <w:color w:val="1F3864"/>
          <w:sz w:val="32"/>
          <w:szCs w:val="32"/>
        </w:rPr>
        <w:t>GRANGE FARM ESTATE</w:t>
      </w:r>
    </w:p>
    <w:p w:rsidR="00B74FF1" w:rsidRDefault="00000000">
      <w:pPr>
        <w:spacing w:after="60"/>
        <w:jc w:val="center"/>
      </w:pPr>
      <w:r>
        <w:rPr>
          <w:color w:val="2E5090"/>
          <w:sz w:val="26"/>
          <w:szCs w:val="26"/>
        </w:rPr>
        <w:t>Residents’ Steering Group</w:t>
      </w:r>
    </w:p>
    <w:p w:rsidR="00B74FF1" w:rsidRDefault="00000000">
      <w:pPr>
        <w:spacing w:after="60"/>
        <w:jc w:val="center"/>
      </w:pPr>
      <w:r>
        <w:rPr>
          <w:b/>
          <w:bCs/>
          <w:sz w:val="26"/>
          <w:szCs w:val="26"/>
        </w:rPr>
        <w:t>Meeting Notes</w:t>
      </w:r>
    </w:p>
    <w:p w:rsidR="00B74FF1" w:rsidRDefault="00000000">
      <w:pPr>
        <w:spacing w:after="60"/>
        <w:jc w:val="center"/>
      </w:pPr>
      <w:r>
        <w:t>7:00pm, Thursday 28 May 2026</w:t>
      </w:r>
    </w:p>
    <w:p w:rsidR="00B74FF1" w:rsidRDefault="00000000">
      <w:pPr>
        <w:spacing w:after="200"/>
        <w:jc w:val="center"/>
      </w:pPr>
      <w:r>
        <w:rPr>
          <w:i/>
          <w:iCs/>
        </w:rPr>
        <w:t>The Royal British Legion, 76 Northolt Road, South Harrow</w:t>
      </w:r>
    </w:p>
    <w:p w:rsidR="00B74FF1" w:rsidRDefault="00000000">
      <w:pPr>
        <w:shd w:val="clear" w:color="auto" w:fill="EEF2F7"/>
        <w:spacing w:after="300"/>
        <w:jc w:val="center"/>
      </w:pPr>
      <w:r>
        <w:rPr>
          <w:i/>
          <w:iCs/>
          <w:color w:val="595959"/>
          <w:sz w:val="19"/>
          <w:szCs w:val="19"/>
        </w:rPr>
        <w:t>Individual repair issues should be discussed with LB Harrow staff before or after the meeting.</w:t>
      </w:r>
    </w:p>
    <w:p w:rsidR="00B74FF1" w:rsidRDefault="00B74FF1">
      <w:pPr>
        <w:pBdr>
          <w:bottom w:val="single" w:sz="4" w:space="1" w:color="CCCCCC"/>
        </w:pBdr>
        <w:spacing w:before="160" w:after="160"/>
      </w:pPr>
    </w:p>
    <w:p w:rsidR="00B74FF1" w:rsidRDefault="00000000">
      <w:pPr>
        <w:pStyle w:val="Heading1"/>
      </w:pPr>
      <w:r>
        <w:t>Attendance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9"/>
        <w:gridCol w:w="7579"/>
      </w:tblGrid>
      <w:tr w:rsidR="00B74FF1">
        <w:tc>
          <w:tcPr>
            <w:tcW w:w="20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B74FF1" w:rsidRDefault="00000000">
            <w:r>
              <w:rPr>
                <w:b/>
                <w:bCs/>
              </w:rPr>
              <w:t>Present:</w:t>
            </w:r>
          </w:p>
        </w:tc>
        <w:tc>
          <w:tcPr>
            <w:tcW w:w="73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rsidR="00B74FF1" w:rsidRDefault="00000000">
            <w:r>
              <w:t>Varsha Patel (Chair); Erica Fontaine; Rekha Mehta; Denis Barker; V. Ranjan Narayanasamy; Amita Jagai-Kempster; Shobhana Shah; Paddy Lynne (Co-optee); Casey Dalton (ITA); and Carol Sormaz (Christchurch Roxeth).</w:t>
            </w:r>
          </w:p>
        </w:tc>
      </w:tr>
      <w:tr w:rsidR="00B74FF1">
        <w:tc>
          <w:tcPr>
            <w:tcW w:w="20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B74FF1" w:rsidRDefault="00000000">
            <w:r>
              <w:rPr>
                <w:b/>
                <w:bCs/>
              </w:rPr>
              <w:t>Apologies:</w:t>
            </w:r>
          </w:p>
        </w:tc>
        <w:tc>
          <w:tcPr>
            <w:tcW w:w="73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rsidR="00B74FF1" w:rsidRDefault="00000000">
            <w:r>
              <w:t>Franki Reid; Shamim Manji; Hafsa Begum; Shivakuru Selvathurai; Sharleen O’Leary; Alison Coudray; Elizabeth Patterson; and Raj Kumar (ITA).</w:t>
            </w:r>
          </w:p>
        </w:tc>
      </w:tr>
      <w:tr w:rsidR="00B74FF1">
        <w:tc>
          <w:tcPr>
            <w:tcW w:w="20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B74FF1" w:rsidRDefault="00000000">
            <w:r>
              <w:rPr>
                <w:b/>
                <w:bCs/>
              </w:rPr>
              <w:t>Note:</w:t>
            </w:r>
          </w:p>
        </w:tc>
        <w:tc>
          <w:tcPr>
            <w:tcW w:w="73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rsidR="00B74FF1" w:rsidRDefault="00000000">
            <w:r>
              <w:t>The Police will not be attending future meetings but have requested that meeting notes continue to be shared with them.</w:t>
            </w:r>
          </w:p>
        </w:tc>
      </w:tr>
    </w:tbl>
    <w:p w:rsidR="00B74FF1" w:rsidRDefault="00B74FF1">
      <w:pPr>
        <w:pBdr>
          <w:bottom w:val="single" w:sz="4" w:space="1" w:color="CCCCCC"/>
        </w:pBdr>
        <w:spacing w:before="160" w:after="160"/>
      </w:pPr>
    </w:p>
    <w:p w:rsidR="00B74FF1" w:rsidRDefault="00000000">
      <w:pPr>
        <w:pStyle w:val="Heading1"/>
      </w:pPr>
      <w:r>
        <w:t>1.  Good News Stories</w:t>
      </w:r>
    </w:p>
    <w:p w:rsidR="00B74FF1" w:rsidRDefault="00000000">
      <w:pPr>
        <w:pStyle w:val="ListParagraph"/>
        <w:numPr>
          <w:ilvl w:val="0"/>
          <w:numId w:val="2"/>
        </w:numPr>
        <w:spacing w:after="60"/>
      </w:pPr>
      <w:r>
        <w:t>Excellent attendance at the Phase 2a Consultation Event was noted, with the Steering Group, Contractor and Council making a strong effort to engage residents and encourage participation.</w:t>
      </w:r>
    </w:p>
    <w:p w:rsidR="00B74FF1" w:rsidRDefault="00000000">
      <w:pPr>
        <w:pStyle w:val="ListParagraph"/>
        <w:numPr>
          <w:ilvl w:val="0"/>
          <w:numId w:val="2"/>
        </w:numPr>
        <w:spacing w:after="60"/>
      </w:pPr>
      <w:r>
        <w:t>Work has now begun on the knock-down bin area improvements; residents are very pleased to see these changes beginning.</w:t>
      </w:r>
    </w:p>
    <w:p w:rsidR="00B74FF1" w:rsidRDefault="00000000">
      <w:pPr>
        <w:pStyle w:val="ListParagraph"/>
        <w:numPr>
          <w:ilvl w:val="0"/>
          <w:numId w:val="2"/>
        </w:numPr>
        <w:spacing w:after="60"/>
      </w:pPr>
      <w:r>
        <w:t>The “Community Drama in a Day” event was a real success, bringing residents together in a positive and creative way. It was especially nice to see a new permanent resident family join in and begin getting to know other members of the community.</w:t>
      </w:r>
    </w:p>
    <w:p w:rsidR="00B74FF1" w:rsidRDefault="00000000">
      <w:pPr>
        <w:pStyle w:val="ListParagraph"/>
        <w:numPr>
          <w:ilvl w:val="0"/>
          <w:numId w:val="2"/>
        </w:numPr>
        <w:spacing w:after="60"/>
      </w:pPr>
      <w:r>
        <w:t>Residents were pleased to hear about the use of hawks as a pigeon deterrent; many were keeping an eye out for them on the day, although no hawk sightings were reported.</w:t>
      </w:r>
    </w:p>
    <w:p w:rsidR="00B74FF1" w:rsidRDefault="00B74FF1">
      <w:pPr>
        <w:pBdr>
          <w:bottom w:val="single" w:sz="4" w:space="1" w:color="CCCCCC"/>
        </w:pBdr>
        <w:spacing w:before="160" w:after="160"/>
      </w:pPr>
    </w:p>
    <w:p w:rsidR="00B74FF1" w:rsidRDefault="00000000">
      <w:pPr>
        <w:pStyle w:val="Heading1"/>
      </w:pPr>
      <w:r>
        <w:t>2.  Notes of Previous Meeting – 30 April 2026</w:t>
      </w:r>
    </w:p>
    <w:p w:rsidR="00B74FF1" w:rsidRDefault="00000000">
      <w:pPr>
        <w:spacing w:after="80"/>
      </w:pPr>
      <w:r>
        <w:t>The notes of the meeting held on 30 April 2026 were agreed, subject to amendments noted.</w:t>
      </w:r>
    </w:p>
    <w:p w:rsidR="00B74FF1" w:rsidRDefault="00B74FF1">
      <w:pPr>
        <w:pBdr>
          <w:bottom w:val="single" w:sz="4" w:space="1" w:color="CCCCCC"/>
        </w:pBdr>
        <w:spacing w:before="160" w:after="160"/>
      </w:pPr>
    </w:p>
    <w:p w:rsidR="00B74FF1" w:rsidRDefault="00000000">
      <w:pPr>
        <w:pStyle w:val="Heading1"/>
      </w:pPr>
      <w:r>
        <w:t>3.  Feedback from the Phase 2a Design Consultation (19 May Event)</w:t>
      </w:r>
    </w:p>
    <w:p w:rsidR="00B74FF1" w:rsidRDefault="00000000">
      <w:pPr>
        <w:pStyle w:val="ListParagraph"/>
        <w:numPr>
          <w:ilvl w:val="0"/>
          <w:numId w:val="2"/>
        </w:numPr>
        <w:spacing w:after="60"/>
      </w:pPr>
      <w:r>
        <w:t>The Steering Group welcomed the Phase 2a engagement event and noted the strong resident attendance. However, some residents found the plans difficult to read as they were displayed at a small scale and lacked sufficient detail, leading to uncertainty about what was being proposed.</w:t>
      </w:r>
    </w:p>
    <w:p w:rsidR="00B74FF1" w:rsidRDefault="00000000">
      <w:pPr>
        <w:pStyle w:val="ListParagraph"/>
        <w:numPr>
          <w:ilvl w:val="0"/>
          <w:numId w:val="2"/>
        </w:numPr>
        <w:spacing w:after="60"/>
      </w:pPr>
      <w:r>
        <w:t>Residents raised questions regarding play areas, storage provision, and other practical aspects of the design. The inclusion of windows in all kitchens was positively received.</w:t>
      </w:r>
    </w:p>
    <w:p w:rsidR="00B74FF1" w:rsidRDefault="00000000">
      <w:pPr>
        <w:pStyle w:val="ListParagraph"/>
        <w:numPr>
          <w:ilvl w:val="0"/>
          <w:numId w:val="2"/>
        </w:numPr>
        <w:spacing w:after="60"/>
      </w:pPr>
      <w:r>
        <w:t>Residents asked how lessons learned from Phase 1 are being incorporated into the new designs and delivery process. There was interest in visiting one of the contractor’s existing completed schemes to better understand the proposed quality and layout standards in practice.</w:t>
      </w:r>
    </w:p>
    <w:p w:rsidR="00B74FF1" w:rsidRDefault="00000000">
      <w:pPr>
        <w:pStyle w:val="ListParagraph"/>
        <w:numPr>
          <w:ilvl w:val="0"/>
          <w:numId w:val="2"/>
        </w:numPr>
        <w:spacing w:after="60"/>
      </w:pPr>
      <w:r>
        <w:lastRenderedPageBreak/>
        <w:t>Ranjan highlighted the importance of formally recording key decisions and agreements throughout the process, including how accountability will be managed if agreed commitments are not delivered.</w:t>
      </w:r>
    </w:p>
    <w:p w:rsidR="00B74FF1" w:rsidRDefault="00000000">
      <w:pPr>
        <w:pStyle w:val="ListParagraph"/>
        <w:numPr>
          <w:ilvl w:val="0"/>
          <w:numId w:val="2"/>
        </w:numPr>
        <w:spacing w:after="60"/>
      </w:pPr>
      <w:r>
        <w:t xml:space="preserve">Concerns were raised about safety inspections, quality control, and the handover process during Phase 1, with residents feeling that some issues were addressed through reactive short-term repairs after occupation. It was proposed that formal inspections take place at both </w:t>
      </w:r>
      <w:proofErr w:type="gramStart"/>
      <w:r>
        <w:t>6 and 12 months</w:t>
      </w:r>
      <w:proofErr w:type="gramEnd"/>
      <w:r>
        <w:t xml:space="preserve"> post-handover, involving residents directly. Residents also expressed the view that independent professional surveyors should support these inspections. Concerns were raised that a one-year defects period may not be sufficient to fully identify longer-term issues.</w:t>
      </w:r>
    </w:p>
    <w:p w:rsidR="00B74FF1" w:rsidRDefault="00000000">
      <w:pPr>
        <w:pStyle w:val="ListParagraph"/>
        <w:numPr>
          <w:ilvl w:val="0"/>
          <w:numId w:val="2"/>
        </w:numPr>
        <w:spacing w:after="60"/>
      </w:pPr>
      <w:r>
        <w:t>Raj has submitted a follow-up document to LB Harrow setting out residents’ questions and comments on the proposed Phase 2a regeneration design. The Steering Group agreed this document was thorough. The document seeks clearer information and written commitments regarding accessibility standards, lift reliability, kitchen layouts, building materials, balcony design, safety and security, traffic impacts, green space maintenance, refuse arrangements, and the wider regeneration timeline. It also reiterates residents’ expectation that consultation under the Residents’ Charter must be meaningful and transparent, with clear evidence showing how resident feedback influences final design decisions before approval.</w:t>
      </w:r>
    </w:p>
    <w:p w:rsidR="00B74FF1" w:rsidRDefault="00000000">
      <w:pPr>
        <w:pStyle w:val="ListParagraph"/>
        <w:numPr>
          <w:ilvl w:val="0"/>
          <w:numId w:val="2"/>
        </w:numPr>
        <w:spacing w:after="60"/>
      </w:pPr>
      <w:r>
        <w:t>Residents also asked whether a date has been agreed for the next consultation event.</w:t>
      </w:r>
    </w:p>
    <w:p w:rsidR="00B74FF1" w:rsidRDefault="00B74FF1">
      <w:pPr>
        <w:pBdr>
          <w:bottom w:val="single" w:sz="4" w:space="1" w:color="CCCCCC"/>
        </w:pBdr>
        <w:spacing w:before="160" w:after="160"/>
      </w:pPr>
    </w:p>
    <w:p w:rsidR="00B74FF1" w:rsidRDefault="00000000">
      <w:pPr>
        <w:pStyle w:val="Heading1"/>
      </w:pPr>
      <w:r>
        <w:t>4.  Planning for the AGM &amp; Elections (29 October)</w:t>
      </w:r>
    </w:p>
    <w:p w:rsidR="00B74FF1" w:rsidRDefault="00000000">
      <w:pPr>
        <w:pStyle w:val="ListParagraph"/>
        <w:numPr>
          <w:ilvl w:val="0"/>
          <w:numId w:val="2"/>
        </w:numPr>
        <w:spacing w:after="60"/>
      </w:pPr>
      <w:r>
        <w:t>A third of the Steering Group (6 out of 18) stand down every year. The following members are due to stand down: Shobhana Shah, Adna Ali, Sharleen O’Leary, Elizabeth Patterson, Aliyah Ali, and Sharon Strutt. All are eligible to re-stand.</w:t>
      </w:r>
    </w:p>
    <w:p w:rsidR="00B74FF1" w:rsidRDefault="00B74FF1">
      <w:pPr>
        <w:pBdr>
          <w:bottom w:val="single" w:sz="4" w:space="1" w:color="CCCCCC"/>
        </w:pBdr>
        <w:spacing w:before="160" w:after="160"/>
      </w:pPr>
    </w:p>
    <w:p w:rsidR="00B74FF1" w:rsidRDefault="00000000">
      <w:pPr>
        <w:pStyle w:val="Heading1"/>
      </w:pPr>
      <w:r>
        <w:t>5.  Planning for the Next Steering Group Meeting with LB Harrow (25 June)</w:t>
      </w:r>
    </w:p>
    <w:p w:rsidR="00B74FF1" w:rsidRDefault="00000000">
      <w:pPr>
        <w:spacing w:after="80"/>
      </w:pPr>
      <w:r>
        <w:t>The Steering Group discussed proposed agenda items for the upcoming meeting with LB Harrow on 25 June. Key topics identified for consideration included:</w:t>
      </w:r>
    </w:p>
    <w:p w:rsidR="00B74FF1" w:rsidRDefault="00000000">
      <w:pPr>
        <w:pStyle w:val="ListParagraph"/>
        <w:numPr>
          <w:ilvl w:val="0"/>
          <w:numId w:val="2"/>
        </w:numPr>
        <w:spacing w:after="60"/>
      </w:pPr>
      <w:r>
        <w:t>Summer activities and plans for a community BBQ event.</w:t>
      </w:r>
    </w:p>
    <w:p w:rsidR="00B74FF1" w:rsidRDefault="00000000">
      <w:pPr>
        <w:pStyle w:val="ListParagraph"/>
        <w:numPr>
          <w:ilvl w:val="0"/>
          <w:numId w:val="2"/>
        </w:numPr>
        <w:spacing w:after="60"/>
      </w:pPr>
      <w:r>
        <w:t>Further discussion and updates on the Phase 2 consultation process.</w:t>
      </w:r>
    </w:p>
    <w:p w:rsidR="00B74FF1" w:rsidRDefault="00000000">
      <w:pPr>
        <w:pStyle w:val="ListParagraph"/>
        <w:numPr>
          <w:ilvl w:val="0"/>
          <w:numId w:val="2"/>
        </w:numPr>
        <w:spacing w:after="60"/>
      </w:pPr>
      <w:r>
        <w:t>Ongoing issues relating to Phase 1, including concerns regarding heavy entrance doors, installation of door handles, recurring lift breakdowns, and outstanding defects that still require repair.</w:t>
      </w:r>
    </w:p>
    <w:p w:rsidR="00B74FF1" w:rsidRDefault="00000000">
      <w:pPr>
        <w:pStyle w:val="ListParagraph"/>
        <w:numPr>
          <w:ilvl w:val="0"/>
          <w:numId w:val="2"/>
        </w:numPr>
        <w:spacing w:after="60"/>
      </w:pPr>
      <w:r>
        <w:t>Updates relating to anti-social behaviour, including ongoing drug-related concerns and recent attempted break-ins on the estate.</w:t>
      </w:r>
    </w:p>
    <w:p w:rsidR="00B74FF1" w:rsidRDefault="00000000">
      <w:pPr>
        <w:pStyle w:val="ListParagraph"/>
        <w:numPr>
          <w:ilvl w:val="0"/>
          <w:numId w:val="2"/>
        </w:numPr>
        <w:spacing w:after="60"/>
      </w:pPr>
      <w:r>
        <w:t>An update on CCTV proposals and future plans for coverage across the estate.</w:t>
      </w:r>
    </w:p>
    <w:p w:rsidR="00B74FF1" w:rsidRDefault="00000000">
      <w:pPr>
        <w:pStyle w:val="ListParagraph"/>
        <w:numPr>
          <w:ilvl w:val="0"/>
          <w:numId w:val="2"/>
        </w:numPr>
        <w:spacing w:after="60"/>
      </w:pPr>
      <w:r>
        <w:t>Parking and traffic concerns, including the potential need for an estate-wide parking strategy. Members discussed whether Highways officers should be invited to a future meeting or whether a separate dedicated meeting would be more appropriate. Safety implications relating to access routes and traffic movement on the estate were highlighted as a significant concern.</w:t>
      </w:r>
    </w:p>
    <w:p w:rsidR="00B74FF1" w:rsidRDefault="00B74FF1">
      <w:pPr>
        <w:pBdr>
          <w:bottom w:val="single" w:sz="4" w:space="1" w:color="CCCCCC"/>
        </w:pBdr>
        <w:spacing w:before="160" w:after="160"/>
      </w:pPr>
    </w:p>
    <w:p w:rsidR="00B74FF1" w:rsidRDefault="00000000">
      <w:pPr>
        <w:pStyle w:val="Heading1"/>
      </w:pPr>
      <w:r>
        <w:t>6.  Contact Details</w:t>
      </w:r>
    </w:p>
    <w:p w:rsidR="00B74FF1" w:rsidRDefault="00000000">
      <w:pPr>
        <w:pStyle w:val="ListParagraph"/>
        <w:numPr>
          <w:ilvl w:val="0"/>
          <w:numId w:val="2"/>
        </w:numPr>
        <w:spacing w:after="60"/>
      </w:pPr>
      <w:r>
        <w:t xml:space="preserve">Next drop-in session: </w:t>
      </w:r>
      <w:r>
        <w:rPr>
          <w:color w:val="2E5090"/>
        </w:rPr>
        <w:t>https://www.harrow.gov.uk/dropinsessions</w:t>
      </w:r>
    </w:p>
    <w:p w:rsidR="00B74FF1" w:rsidRDefault="00000000">
      <w:pPr>
        <w:pStyle w:val="ListParagraph"/>
        <w:numPr>
          <w:ilvl w:val="0"/>
          <w:numId w:val="2"/>
        </w:numPr>
        <w:spacing w:after="60"/>
      </w:pPr>
      <w:r>
        <w:t xml:space="preserve">Reporting repairs: housing online account at </w:t>
      </w:r>
      <w:r>
        <w:rPr>
          <w:color w:val="2E5090"/>
        </w:rPr>
        <w:t>www.harrow.gov.uk/housing</w:t>
      </w:r>
      <w:r>
        <w:t xml:space="preserve"> or Access Harrow: 020 8901 2630.</w:t>
      </w:r>
    </w:p>
    <w:p w:rsidR="00B74FF1" w:rsidRDefault="00B74FF1">
      <w:pPr>
        <w:pBdr>
          <w:bottom w:val="single" w:sz="4" w:space="1" w:color="CCCCCC"/>
        </w:pBdr>
        <w:spacing w:before="160" w:after="160"/>
      </w:pPr>
    </w:p>
    <w:p w:rsidR="00B74FF1" w:rsidRDefault="00000000">
      <w:pPr>
        <w:pStyle w:val="Heading1"/>
      </w:pPr>
      <w:r>
        <w:t xml:space="preserve">7.  Date of Next Meeting: </w:t>
      </w:r>
      <w:r>
        <w:rPr>
          <w:b w:val="0"/>
          <w:bCs w:val="0"/>
          <w:color w:val="000000"/>
          <w:sz w:val="22"/>
          <w:szCs w:val="22"/>
        </w:rPr>
        <w:t>7:00pm on Thursday 25 June 2026 – Royal British Legion.</w:t>
      </w:r>
    </w:p>
    <w:p w:rsidR="00B74FF1" w:rsidRDefault="00B74FF1">
      <w:pPr>
        <w:pBdr>
          <w:bottom w:val="single" w:sz="4" w:space="1" w:color="CCCCCC"/>
        </w:pBdr>
        <w:spacing w:before="160" w:after="160"/>
      </w:pPr>
    </w:p>
    <w:p w:rsidR="00B74FF1" w:rsidRDefault="00000000">
      <w:pPr>
        <w:pStyle w:val="Heading1"/>
      </w:pPr>
      <w:r>
        <w:t>8.  Any Other Business (AOB)</w:t>
      </w:r>
    </w:p>
    <w:p w:rsidR="00B74FF1" w:rsidRDefault="00000000">
      <w:pPr>
        <w:pStyle w:val="Heading2"/>
      </w:pPr>
      <w:r>
        <w:t>Communal Drying Racks – Wesley Close (Anthea Watkins, LBH)</w:t>
      </w:r>
    </w:p>
    <w:p w:rsidR="00B74FF1" w:rsidRDefault="00000000">
      <w:pPr>
        <w:pStyle w:val="ListParagraph"/>
        <w:numPr>
          <w:ilvl w:val="0"/>
          <w:numId w:val="2"/>
        </w:numPr>
        <w:spacing w:after="60"/>
      </w:pPr>
      <w:r>
        <w:t>A request was shared from Anthea Watkins (LBH) regarding proposed environmental improvements around the Wesley Close blocks. As part of wider estate improvement works, LBH is considering tidying the existing drying rack areas and installing new drying racks near the Wesley Close blocks. Feedback was sought from the Steering Group and wider residents on whether this would be welcomed or whether there were concerns regarding vandalism and misuse.</w:t>
      </w:r>
    </w:p>
    <w:p w:rsidR="00B74FF1" w:rsidRDefault="00000000">
      <w:pPr>
        <w:pStyle w:val="ListParagraph"/>
        <w:numPr>
          <w:ilvl w:val="0"/>
          <w:numId w:val="2"/>
        </w:numPr>
        <w:spacing w:after="60"/>
      </w:pPr>
      <w:r>
        <w:t>The Steering Group strongly felt that communal drying racks had not worked well historically, with previous issues including vandalism and clothes being stolen. While members appreciated the intention behind the proposal, the general view was that, based on past experience, the facilities were unlikely to remain in good condition long-term.</w:t>
      </w:r>
    </w:p>
    <w:p w:rsidR="00B74FF1" w:rsidRDefault="00000000">
      <w:pPr>
        <w:pStyle w:val="Heading2"/>
      </w:pPr>
      <w:r>
        <w:t>Security &amp; Anti-Social Behaviour</w:t>
      </w:r>
    </w:p>
    <w:p w:rsidR="00B74FF1" w:rsidRDefault="00000000">
      <w:pPr>
        <w:pStyle w:val="ListParagraph"/>
        <w:numPr>
          <w:ilvl w:val="0"/>
          <w:numId w:val="2"/>
        </w:numPr>
        <w:spacing w:after="60"/>
      </w:pPr>
      <w:r>
        <w:t>Residents raised concerns regarding a recent incident where an individual reportedly climbed over a fence. Concerns were specifically noted regarding a possible attempted break-in at Tamarind Court, which has been reported to the police.</w:t>
      </w:r>
    </w:p>
    <w:p w:rsidR="00B74FF1" w:rsidRDefault="00000000">
      <w:pPr>
        <w:pStyle w:val="ListParagraph"/>
        <w:numPr>
          <w:ilvl w:val="0"/>
          <w:numId w:val="2"/>
        </w:numPr>
        <w:spacing w:after="60"/>
      </w:pPr>
      <w:r>
        <w:t>It was also noted that there was a significant police presence on the estate the previous week.</w:t>
      </w:r>
    </w:p>
    <w:p w:rsidR="00B74FF1" w:rsidRDefault="00000000">
      <w:pPr>
        <w:pStyle w:val="Heading2"/>
      </w:pPr>
      <w:r>
        <w:t>Smoke Alarm Upgrades – Phase 1 Properties</w:t>
      </w:r>
    </w:p>
    <w:p w:rsidR="00B74FF1" w:rsidRDefault="00000000">
      <w:pPr>
        <w:pStyle w:val="ListParagraph"/>
        <w:numPr>
          <w:ilvl w:val="0"/>
          <w:numId w:val="2"/>
        </w:numPr>
        <w:spacing w:after="60"/>
      </w:pPr>
      <w:r>
        <w:t>Some residents in Phase 1 properties have received letters about planned smoke alarm upgrades; however, concerns were raised that not all residents appear to have received this communication.</w:t>
      </w:r>
    </w:p>
    <w:sectPr w:rsidR="00B74FF1">
      <w:head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7DFD" w:rsidRDefault="00A67DFD">
      <w:r>
        <w:separator/>
      </w:r>
    </w:p>
  </w:endnote>
  <w:endnote w:type="continuationSeparator" w:id="0">
    <w:p w:rsidR="00A67DFD" w:rsidRDefault="00A6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7DFD" w:rsidRDefault="00A67DFD">
      <w:r>
        <w:separator/>
      </w:r>
    </w:p>
  </w:footnote>
  <w:footnote w:type="continuationSeparator" w:id="0">
    <w:p w:rsidR="00A67DFD" w:rsidRDefault="00A6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4FF1" w:rsidRDefault="00B74FF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90"/>
    <w:multiLevelType w:val="hybridMultilevel"/>
    <w:tmpl w:val="3BFA3D2C"/>
    <w:lvl w:ilvl="0" w:tplc="4DCC13C4">
      <w:start w:val="1"/>
      <w:numFmt w:val="bullet"/>
      <w:lvlText w:val="–"/>
      <w:lvlJc w:val="left"/>
      <w:pPr>
        <w:ind w:left="900" w:hanging="240"/>
      </w:pPr>
    </w:lvl>
    <w:lvl w:ilvl="1" w:tplc="BA5627FE">
      <w:numFmt w:val="decimal"/>
      <w:lvlText w:val=""/>
      <w:lvlJc w:val="left"/>
    </w:lvl>
    <w:lvl w:ilvl="2" w:tplc="C0760AE2">
      <w:numFmt w:val="decimal"/>
      <w:lvlText w:val=""/>
      <w:lvlJc w:val="left"/>
    </w:lvl>
    <w:lvl w:ilvl="3" w:tplc="D84EE3AA">
      <w:numFmt w:val="decimal"/>
      <w:lvlText w:val=""/>
      <w:lvlJc w:val="left"/>
    </w:lvl>
    <w:lvl w:ilvl="4" w:tplc="AEBC0472">
      <w:numFmt w:val="decimal"/>
      <w:lvlText w:val=""/>
      <w:lvlJc w:val="left"/>
    </w:lvl>
    <w:lvl w:ilvl="5" w:tplc="DFE29370">
      <w:numFmt w:val="decimal"/>
      <w:lvlText w:val=""/>
      <w:lvlJc w:val="left"/>
    </w:lvl>
    <w:lvl w:ilvl="6" w:tplc="AA68F7DE">
      <w:numFmt w:val="decimal"/>
      <w:lvlText w:val=""/>
      <w:lvlJc w:val="left"/>
    </w:lvl>
    <w:lvl w:ilvl="7" w:tplc="87344998">
      <w:numFmt w:val="decimal"/>
      <w:lvlText w:val=""/>
      <w:lvlJc w:val="left"/>
    </w:lvl>
    <w:lvl w:ilvl="8" w:tplc="CF0C7B8E">
      <w:numFmt w:val="decimal"/>
      <w:lvlText w:val=""/>
      <w:lvlJc w:val="left"/>
    </w:lvl>
  </w:abstractNum>
  <w:abstractNum w:abstractNumId="1" w15:restartNumberingAfterBreak="0">
    <w:nsid w:val="1B705848"/>
    <w:multiLevelType w:val="hybridMultilevel"/>
    <w:tmpl w:val="1D268BD0"/>
    <w:lvl w:ilvl="0" w:tplc="2DAA4672">
      <w:start w:val="1"/>
      <w:numFmt w:val="bullet"/>
      <w:lvlText w:val="●"/>
      <w:lvlJc w:val="left"/>
      <w:pPr>
        <w:ind w:left="720" w:hanging="360"/>
      </w:pPr>
    </w:lvl>
    <w:lvl w:ilvl="1" w:tplc="EEA4AAD2">
      <w:start w:val="1"/>
      <w:numFmt w:val="bullet"/>
      <w:lvlText w:val="○"/>
      <w:lvlJc w:val="left"/>
      <w:pPr>
        <w:ind w:left="1440" w:hanging="360"/>
      </w:pPr>
    </w:lvl>
    <w:lvl w:ilvl="2" w:tplc="C1AA2B9C">
      <w:start w:val="1"/>
      <w:numFmt w:val="bullet"/>
      <w:lvlText w:val="■"/>
      <w:lvlJc w:val="left"/>
      <w:pPr>
        <w:ind w:left="2160" w:hanging="360"/>
      </w:pPr>
    </w:lvl>
    <w:lvl w:ilvl="3" w:tplc="454625CC">
      <w:start w:val="1"/>
      <w:numFmt w:val="bullet"/>
      <w:lvlText w:val="●"/>
      <w:lvlJc w:val="left"/>
      <w:pPr>
        <w:ind w:left="2880" w:hanging="360"/>
      </w:pPr>
    </w:lvl>
    <w:lvl w:ilvl="4" w:tplc="89C49672">
      <w:start w:val="1"/>
      <w:numFmt w:val="bullet"/>
      <w:lvlText w:val="○"/>
      <w:lvlJc w:val="left"/>
      <w:pPr>
        <w:ind w:left="3600" w:hanging="360"/>
      </w:pPr>
    </w:lvl>
    <w:lvl w:ilvl="5" w:tplc="2B1C5A28">
      <w:start w:val="1"/>
      <w:numFmt w:val="bullet"/>
      <w:lvlText w:val="■"/>
      <w:lvlJc w:val="left"/>
      <w:pPr>
        <w:ind w:left="4320" w:hanging="360"/>
      </w:pPr>
    </w:lvl>
    <w:lvl w:ilvl="6" w:tplc="3C28389A">
      <w:start w:val="1"/>
      <w:numFmt w:val="bullet"/>
      <w:lvlText w:val="●"/>
      <w:lvlJc w:val="left"/>
      <w:pPr>
        <w:ind w:left="5040" w:hanging="360"/>
      </w:pPr>
    </w:lvl>
    <w:lvl w:ilvl="7" w:tplc="F8F69EB4">
      <w:start w:val="1"/>
      <w:numFmt w:val="bullet"/>
      <w:lvlText w:val="●"/>
      <w:lvlJc w:val="left"/>
      <w:pPr>
        <w:ind w:left="5760" w:hanging="360"/>
      </w:pPr>
    </w:lvl>
    <w:lvl w:ilvl="8" w:tplc="FAF40DBC">
      <w:start w:val="1"/>
      <w:numFmt w:val="bullet"/>
      <w:lvlText w:val="●"/>
      <w:lvlJc w:val="left"/>
      <w:pPr>
        <w:ind w:left="6480" w:hanging="360"/>
      </w:pPr>
    </w:lvl>
  </w:abstractNum>
  <w:abstractNum w:abstractNumId="2" w15:restartNumberingAfterBreak="0">
    <w:nsid w:val="4A5F5ECE"/>
    <w:multiLevelType w:val="hybridMultilevel"/>
    <w:tmpl w:val="913C5532"/>
    <w:lvl w:ilvl="0" w:tplc="BEF44A12">
      <w:start w:val="1"/>
      <w:numFmt w:val="bullet"/>
      <w:lvlText w:val="•"/>
      <w:lvlJc w:val="left"/>
      <w:pPr>
        <w:ind w:left="480" w:hanging="240"/>
      </w:pPr>
    </w:lvl>
    <w:lvl w:ilvl="1" w:tplc="218450B8">
      <w:numFmt w:val="decimal"/>
      <w:lvlText w:val=""/>
      <w:lvlJc w:val="left"/>
    </w:lvl>
    <w:lvl w:ilvl="2" w:tplc="08587EA0">
      <w:numFmt w:val="decimal"/>
      <w:lvlText w:val=""/>
      <w:lvlJc w:val="left"/>
    </w:lvl>
    <w:lvl w:ilvl="3" w:tplc="28A0F512">
      <w:numFmt w:val="decimal"/>
      <w:lvlText w:val=""/>
      <w:lvlJc w:val="left"/>
    </w:lvl>
    <w:lvl w:ilvl="4" w:tplc="5114BDF0">
      <w:numFmt w:val="decimal"/>
      <w:lvlText w:val=""/>
      <w:lvlJc w:val="left"/>
    </w:lvl>
    <w:lvl w:ilvl="5" w:tplc="27FC4A0E">
      <w:numFmt w:val="decimal"/>
      <w:lvlText w:val=""/>
      <w:lvlJc w:val="left"/>
    </w:lvl>
    <w:lvl w:ilvl="6" w:tplc="50E6D744">
      <w:numFmt w:val="decimal"/>
      <w:lvlText w:val=""/>
      <w:lvlJc w:val="left"/>
    </w:lvl>
    <w:lvl w:ilvl="7" w:tplc="E91C91B4">
      <w:numFmt w:val="decimal"/>
      <w:lvlText w:val=""/>
      <w:lvlJc w:val="left"/>
    </w:lvl>
    <w:lvl w:ilvl="8" w:tplc="101AF3A4">
      <w:numFmt w:val="decimal"/>
      <w:lvlText w:val=""/>
      <w:lvlJc w:val="left"/>
    </w:lvl>
  </w:abstractNum>
  <w:abstractNum w:abstractNumId="3" w15:restartNumberingAfterBreak="0">
    <w:nsid w:val="630E63FF"/>
    <w:multiLevelType w:val="hybridMultilevel"/>
    <w:tmpl w:val="E9A4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777361">
    <w:abstractNumId w:val="1"/>
    <w:lvlOverride w:ilvl="0">
      <w:startOverride w:val="1"/>
    </w:lvlOverride>
  </w:num>
  <w:num w:numId="2" w16cid:durableId="1264806614">
    <w:abstractNumId w:val="2"/>
    <w:lvlOverride w:ilvl="0">
      <w:startOverride w:val="1"/>
    </w:lvlOverride>
  </w:num>
  <w:num w:numId="3" w16cid:durableId="1212964764">
    <w:abstractNumId w:val="0"/>
    <w:lvlOverride w:ilvl="0">
      <w:startOverride w:val="1"/>
    </w:lvlOverride>
  </w:num>
  <w:num w:numId="4" w16cid:durableId="1564560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3B"/>
    <w:rsid w:val="00063511"/>
    <w:rsid w:val="00380EE0"/>
    <w:rsid w:val="004901AB"/>
    <w:rsid w:val="00492EDA"/>
    <w:rsid w:val="00531D38"/>
    <w:rsid w:val="0062747F"/>
    <w:rsid w:val="0072703B"/>
    <w:rsid w:val="00744DAA"/>
    <w:rsid w:val="008E4FE0"/>
    <w:rsid w:val="009656EC"/>
    <w:rsid w:val="00A67DFD"/>
    <w:rsid w:val="00B74FF1"/>
    <w:rsid w:val="00F1420E"/>
    <w:rsid w:val="00F5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12688F97-E2A6-234C-A215-0AA3116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09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 Kumar</cp:lastModifiedBy>
  <cp:revision>2</cp:revision>
  <dcterms:created xsi:type="dcterms:W3CDTF">2026-06-25T20:14:00Z</dcterms:created>
  <dcterms:modified xsi:type="dcterms:W3CDTF">2026-06-25T20:14:00Z</dcterms:modified>
</cp:coreProperties>
</file>